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page" w:horzAnchor="margin" w:tblpY="1051"/>
        <w:tblW w:w="15466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01"/>
        <w:gridCol w:w="2725"/>
        <w:gridCol w:w="2268"/>
        <w:gridCol w:w="5245"/>
        <w:gridCol w:w="709"/>
        <w:gridCol w:w="50"/>
        <w:gridCol w:w="3068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5466" w:type="dxa"/>
            <w:gridSpan w:val="7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32"/>
                <w:szCs w:val="32"/>
              </w:rPr>
              <w:t>广西医科大学考试工作检查</w:t>
            </w:r>
            <w:bookmarkStart w:id="0" w:name="_GoBack"/>
            <w:bookmarkEnd w:id="0"/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32"/>
                <w:szCs w:val="32"/>
              </w:rPr>
              <w:t>评分表</w:t>
            </w:r>
          </w:p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黑体" w:cs="Times New Roman"/>
                <w:color w:val="auto"/>
                <w:sz w:val="22"/>
                <w:szCs w:val="22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22"/>
                <w:szCs w:val="22"/>
                <w:lang w:eastAsia="zh-CN"/>
              </w:rPr>
              <w:t>二级学院：</w:t>
            </w: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22"/>
                <w:szCs w:val="22"/>
                <w:lang w:val="en-US" w:eastAsia="zh-CN"/>
              </w:rPr>
              <w:t xml:space="preserve">                    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2"/>
                <w:szCs w:val="22"/>
              </w:rPr>
              <w:t xml:space="preserve">教研室：                       课程名称：                       </w:t>
            </w:r>
            <w:r>
              <w:rPr>
                <w:rFonts w:hint="default" w:ascii="Times New Roman" w:hAnsi="Times New Roman" w:eastAsia="黑体" w:cs="Times New Roman"/>
                <w:color w:val="auto"/>
                <w:sz w:val="22"/>
                <w:szCs w:val="22"/>
              </w:rPr>
              <w:t>考试对象：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3" w:hRule="atLeast"/>
        </w:trPr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auto"/>
                <w:sz w:val="26"/>
                <w:szCs w:val="26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6"/>
                <w:szCs w:val="26"/>
              </w:rPr>
              <w:t>一级指标</w:t>
            </w: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auto"/>
                <w:sz w:val="26"/>
                <w:szCs w:val="26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6"/>
                <w:szCs w:val="26"/>
              </w:rPr>
              <w:t>二级指标及其分值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auto"/>
                <w:sz w:val="26"/>
                <w:szCs w:val="26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6"/>
                <w:szCs w:val="26"/>
              </w:rPr>
              <w:t>检查要点</w:t>
            </w:r>
          </w:p>
        </w:tc>
        <w:tc>
          <w:tcPr>
            <w:tcW w:w="5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auto"/>
                <w:sz w:val="26"/>
                <w:szCs w:val="26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6"/>
                <w:szCs w:val="26"/>
              </w:rPr>
              <w:t>三级指标及其分值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auto"/>
                <w:sz w:val="26"/>
                <w:szCs w:val="26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6"/>
                <w:szCs w:val="26"/>
              </w:rPr>
              <w:t>得分</w:t>
            </w:r>
          </w:p>
        </w:tc>
        <w:tc>
          <w:tcPr>
            <w:tcW w:w="3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auto"/>
                <w:sz w:val="26"/>
                <w:szCs w:val="26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6"/>
                <w:szCs w:val="26"/>
              </w:rPr>
              <w:t>存在问题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75" w:hRule="atLeast"/>
        </w:trPr>
        <w:tc>
          <w:tcPr>
            <w:tcW w:w="14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1.试题质量（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lang w:val="en-US" w:eastAsia="zh-CN"/>
              </w:rPr>
              <w:t>42</w:t>
            </w: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分）</w:t>
            </w: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1.1 试题覆盖面合理（6分）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检查命题细目表与考试卷</w:t>
            </w:r>
          </w:p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5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命题细目表填写准确、规范、分值比例正确（ 1.5分）；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命题细目表中“了解、熟悉、掌握”的比例符合教学大纲的规定：了解10%以内，熟悉10%-30%，掌握60%-80%     （2分）；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命题细目表考试重点、考试目标明确（1.5分）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命题细目表中“题型分布”与试卷相符（1分）。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</w:tc>
        <w:tc>
          <w:tcPr>
            <w:tcW w:w="3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75" w:hRule="atLeast"/>
        </w:trPr>
        <w:tc>
          <w:tcPr>
            <w:tcW w:w="1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1.2 试题题量适当、题型结构科学、合理</w:t>
            </w:r>
          </w:p>
          <w:p>
            <w:pPr>
              <w:widowControl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 xml:space="preserve"> （6分）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检查命题细目表、命题审批表、考试卷</w:t>
            </w:r>
          </w:p>
        </w:tc>
        <w:tc>
          <w:tcPr>
            <w:tcW w:w="5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命题组由2位副高以上教师及教研室主任组成（1分）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lang w:eastAsia="zh-CN"/>
              </w:rPr>
              <w:t>；</w:t>
            </w:r>
          </w:p>
          <w:p>
            <w:pPr>
              <w:widowControl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命题细目表中试题题量适当（1分）；题型结构合理（2分）；</w:t>
            </w:r>
          </w:p>
          <w:p>
            <w:pPr>
              <w:widowControl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命题审批表填写准确、规范，经教研室-二级学院二级审核，签字盖章完整（1分）；</w:t>
            </w:r>
          </w:p>
          <w:p>
            <w:pPr>
              <w:widowControl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命题审批表中“题型分布”与试卷相符（1分）。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</w:tc>
        <w:tc>
          <w:tcPr>
            <w:tcW w:w="3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1" w:hRule="atLeast"/>
        </w:trPr>
        <w:tc>
          <w:tcPr>
            <w:tcW w:w="1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1.3 试题难度、区分度等质量指标合理（可分类制定评分标准）（15分）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检查考试分析报告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</w:rPr>
              <w:t>（机考课程可从系统导出）</w:t>
            </w: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、选择题答题情况分析表（选择题题量≥30的考试）</w:t>
            </w:r>
          </w:p>
        </w:tc>
        <w:tc>
          <w:tcPr>
            <w:tcW w:w="5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有选择题答题情况表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u w:val="single"/>
              </w:rPr>
              <w:t>或正答率分析表</w:t>
            </w: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（选择题题量≥30的考试）、考试分析报告：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</w:rPr>
              <w:t>2分</w:t>
            </w: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，每表1分</w:t>
            </w:r>
          </w:p>
          <w:p>
            <w:pPr>
              <w:spacing w:line="300" w:lineRule="exact"/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</w:rPr>
              <w:t>难度：3.5分</w:t>
            </w:r>
          </w:p>
          <w:p>
            <w:pPr>
              <w:adjustRightInd w:val="0"/>
              <w:snapToGrid w:val="0"/>
              <w:spacing w:before="93" w:beforeLines="30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平均难度（0.7左右，难度基本合适：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</w:rPr>
              <w:t>2.0</w:t>
            </w: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分；尚可-偏难/偏易：1.5-1.0分）；</w:t>
            </w:r>
          </w:p>
          <w:p>
            <w:pPr>
              <w:adjustRightInd w:val="0"/>
              <w:snapToGrid w:val="0"/>
              <w:spacing w:before="93" w:beforeLines="30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难度分布（基本合理：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</w:rPr>
              <w:t>1.5分</w:t>
            </w: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，欠合理-不合理：1.2-0.8分）； 如有附加题，难度0.00-0.15（1.0分），其他值：0.5分及以下</w:t>
            </w:r>
          </w:p>
          <w:p>
            <w:pPr>
              <w:adjustRightInd w:val="0"/>
              <w:snapToGrid w:val="0"/>
              <w:spacing w:before="93" w:beforeLines="30"/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</w:rPr>
              <w:t>区分度：3.0分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平均区分度达到要求（＞0.2，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</w:rPr>
              <w:t>1.5分</w:t>
            </w: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），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（总体）试题区分度评价：全部题0.2以上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</w:rPr>
              <w:t>1.5分</w:t>
            </w: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，大多数0.2以上1.2分，偏低-较低：1.0-0.5分；</w: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</w:rPr>
              <w:t>综合难度、区分度评价：1.5分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试题（或个体）质量：较好-较差：1.5-0.5分</w: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</w:rPr>
              <w:t>信度：3.0分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达标-较高：0.6-0.8及以上（2.5-3.0分），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基本达标（0.56-0.59）：2.0-2.3分），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欠佳（0.51-0.55）：1.5分：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较低（0.4以下）-偏低（0.41-0.50）：1.0-1.4分，很低-极低（1.0-负数）：0.9-0.0分 )；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</w:rPr>
              <w:t>效度：2.0分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较好：2.0分；可以：1.8分，一般/尚可：1.5分，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偏低-较低及以下：1.0-0.0分）。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</w:tc>
        <w:tc>
          <w:tcPr>
            <w:tcW w:w="3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1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1.4 试题重复率比例合理（≤8%）（6分）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核查试卷与上一届（或上一次）考试试题、备用卷的重复率</w:t>
            </w:r>
          </w:p>
        </w:tc>
        <w:tc>
          <w:tcPr>
            <w:tcW w:w="5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正式卷与备用卷重复率8%以下（2分）。</w:t>
            </w:r>
          </w:p>
          <w:p>
            <w:pPr>
              <w:spacing w:line="300" w:lineRule="exact"/>
              <w:rPr>
                <w:rFonts w:hint="default" w:ascii="Times New Roman" w:hAnsi="Times New Roman" w:cs="Times New Roman"/>
                <w:b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正式卷与上一届（或上一次）考试卷（正式卷+备用卷）重复率≤8%（2分）；</w:t>
            </w:r>
          </w:p>
          <w:p>
            <w:pPr>
              <w:spacing w:line="300" w:lineRule="exact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备用卷与上一届（或上一次）考试卷（正式卷+备用卷）重复率≤8%（2分）；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</w:tc>
        <w:tc>
          <w:tcPr>
            <w:tcW w:w="3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5" w:hRule="atLeast"/>
        </w:trPr>
        <w:tc>
          <w:tcPr>
            <w:tcW w:w="1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1.5 试题内容（文字表述、图表等）准确无误（3分）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检查学生考试卷</w:t>
            </w:r>
          </w:p>
        </w:tc>
        <w:tc>
          <w:tcPr>
            <w:tcW w:w="5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正式卷名称准确规范（1分）；</w:t>
            </w:r>
          </w:p>
          <w:p>
            <w:pPr>
              <w:spacing w:line="300" w:lineRule="exact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试题文字叙述清晰、准确无错漏，插图清楚（2分）。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</w:tc>
        <w:tc>
          <w:tcPr>
            <w:tcW w:w="3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85" w:hRule="atLeast"/>
        </w:trPr>
        <w:tc>
          <w:tcPr>
            <w:tcW w:w="1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1.6 标准（参考）答案科学合理，各题均有详细的给分点（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分）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检查标准答案、评分标准及其操作性</w:t>
            </w:r>
          </w:p>
        </w:tc>
        <w:tc>
          <w:tcPr>
            <w:tcW w:w="5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标准（参考）答案科学合理；制作A、B卷的，A、B卷均要求有答案文件（3分）；</w:t>
            </w:r>
          </w:p>
          <w:p>
            <w:pPr>
              <w:spacing w:line="300" w:lineRule="exact"/>
              <w:jc w:val="left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各题均有详细的得分点（ 3分）。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</w:tc>
        <w:tc>
          <w:tcPr>
            <w:tcW w:w="3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5" w:hRule="atLeast"/>
        </w:trPr>
        <w:tc>
          <w:tcPr>
            <w:tcW w:w="14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2.成绩评定及阅卷（28分）</w:t>
            </w: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2.1 学生成绩单准确无误，符合要求（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分）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检查学生成绩单，应有课程成绩构成表或成绩构成审批表</w:t>
            </w:r>
          </w:p>
        </w:tc>
        <w:tc>
          <w:tcPr>
            <w:tcW w:w="5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学生成绩单准确无误，且有教研室负责人（主任或具体负责人）签名（1分）；</w:t>
            </w:r>
          </w:p>
          <w:p>
            <w:pPr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成绩单有期评公式，比例符合学校要求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lang w:eastAsia="zh-CN"/>
              </w:rPr>
              <w:t>；</w:t>
            </w: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成绩单必须包括期考、过程考核各项成绩和课程总成绩（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分）；</w:t>
            </w:r>
          </w:p>
          <w:p>
            <w:pPr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有成绩构成表（过程占比30-60%），或成绩构成审批表（0或其他比例），且平时成绩比例合理（2分）。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</w:tc>
        <w:tc>
          <w:tcPr>
            <w:tcW w:w="3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80" w:hRule="atLeast"/>
        </w:trPr>
        <w:tc>
          <w:tcPr>
            <w:tcW w:w="14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2.2 阅卷严格按评分标准给分（12分）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用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u w:val="single"/>
              </w:rPr>
              <w:t>红笔</w:t>
            </w: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批阅试卷，每个得分点标出实得分（用正分表示，如0.5），不能给负分；学生答题处每小题题号前必须写出该题总分；改动处应有签名</w:t>
            </w:r>
          </w:p>
        </w:tc>
        <w:tc>
          <w:tcPr>
            <w:tcW w:w="5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u w:val="single"/>
              </w:rPr>
              <w:t>红笔</w:t>
            </w: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阅卷（2分）；</w:t>
            </w:r>
          </w:p>
          <w:p>
            <w:pPr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得分点与标准答案相符（2分）；</w:t>
            </w:r>
          </w:p>
          <w:p>
            <w:pPr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得分点标出实得分，不给负分（2分）；</w:t>
            </w:r>
          </w:p>
          <w:p>
            <w:pPr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每小题前写出该题合计得分（2分）；</w:t>
            </w:r>
          </w:p>
          <w:p>
            <w:pPr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所阅试题得分填在试卷封面（2分）；</w:t>
            </w:r>
          </w:p>
          <w:p>
            <w:pPr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得分改动处教师签名（2分）。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</w:tc>
        <w:tc>
          <w:tcPr>
            <w:tcW w:w="3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70" w:hRule="atLeast"/>
        </w:trPr>
        <w:tc>
          <w:tcPr>
            <w:tcW w:w="14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2.3 阅卷符合要求（10分）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试卷评分整洁，统分、记分无错误，试卷阅卷人在相应处均有签名</w:t>
            </w:r>
          </w:p>
        </w:tc>
        <w:tc>
          <w:tcPr>
            <w:tcW w:w="5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评分整洁（2分）；</w:t>
            </w:r>
          </w:p>
          <w:p>
            <w:pPr>
              <w:adjustRightInd w:val="0"/>
              <w:snapToGrid w:val="0"/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记分无误（3分）；</w:t>
            </w:r>
          </w:p>
          <w:p>
            <w:pPr>
              <w:adjustRightInd w:val="0"/>
              <w:snapToGrid w:val="0"/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统分无误（3分）；</w:t>
            </w:r>
          </w:p>
          <w:p>
            <w:pPr>
              <w:adjustRightInd w:val="0"/>
              <w:snapToGrid w:val="0"/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阅卷者、统分者签名（2分）。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</w:tc>
        <w:tc>
          <w:tcPr>
            <w:tcW w:w="3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5" w:hRule="atLeast"/>
        </w:trPr>
        <w:tc>
          <w:tcPr>
            <w:tcW w:w="14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考试管理</w:t>
            </w:r>
          </w:p>
          <w:p>
            <w:pPr>
              <w:widowControl/>
              <w:numPr>
                <w:ilvl w:val="0"/>
                <w:numId w:val="0"/>
              </w:numPr>
              <w:jc w:val="both"/>
              <w:textAlignment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（30分）</w:t>
            </w: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3.1 试卷卷面质量（2分）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textAlignment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试卷印刷清晰、排版规范</w:t>
            </w:r>
          </w:p>
        </w:tc>
        <w:tc>
          <w:tcPr>
            <w:tcW w:w="5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印刷清晰、排版规范（2分）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</w:tc>
        <w:tc>
          <w:tcPr>
            <w:tcW w:w="3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1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3.2 备用卷符合要求（与正式考试卷要求一致）（6分）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检查备用卷命题审批表、细目表，标准答案及评分标准；备用卷试题与正式卷重复率（≤8%）等</w:t>
            </w:r>
          </w:p>
        </w:tc>
        <w:tc>
          <w:tcPr>
            <w:tcW w:w="5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备用卷命题细目表填写准确、规范、分值比例正确（1分）；</w:t>
            </w:r>
          </w:p>
          <w:p>
            <w:pPr>
              <w:adjustRightInd w:val="0"/>
              <w:snapToGrid w:val="0"/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命题细目表中“了解、熟悉、掌握”的比例符合规定（1分）；</w:t>
            </w:r>
          </w:p>
          <w:p>
            <w:pPr>
              <w:adjustRightInd w:val="0"/>
              <w:snapToGrid w:val="0"/>
              <w:spacing w:line="280" w:lineRule="exact"/>
              <w:rPr>
                <w:rFonts w:hint="eastAsia" w:ascii="Times New Roman" w:hAnsi="Times New Roman" w:cs="Times New Roman"/>
                <w:color w:val="auto"/>
                <w:kern w:val="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命题细目表考试内容与重点与正式卷一致（2分）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lang w:eastAsia="zh-CN"/>
              </w:rPr>
              <w:t>；</w:t>
            </w:r>
          </w:p>
          <w:p>
            <w:pPr>
              <w:adjustRightInd w:val="0"/>
              <w:snapToGrid w:val="0"/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备用卷有标准答案及评分标准（1分）；</w:t>
            </w:r>
          </w:p>
          <w:p>
            <w:pPr>
              <w:adjustRightInd w:val="0"/>
              <w:snapToGrid w:val="0"/>
              <w:spacing w:line="280" w:lineRule="exact"/>
              <w:rPr>
                <w:rFonts w:hint="eastAsia" w:ascii="Times New Roman" w:hAnsi="Times New Roman" w:eastAsia="宋体" w:cs="Times New Roman"/>
                <w:color w:val="auto"/>
                <w:kern w:val="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备用试卷名称准确规范，文字叙述清晰、准确无错漏，插图清楚等（1分）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lang w:eastAsia="zh-CN"/>
              </w:rPr>
              <w:t>。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</w:tc>
        <w:tc>
          <w:tcPr>
            <w:tcW w:w="3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95" w:hRule="atLeast"/>
        </w:trPr>
        <w:tc>
          <w:tcPr>
            <w:tcW w:w="1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3.3 档案袋和试卷袋保存完整（4分）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auto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检查档案袋（包含命题计划细目表、命题审批表、本次考试试题、标准答案和评分标准、学生成绩单、成绩构成表或成绩构成审批表、考试分析报告、考试总结及上届学生考试的试题)和试卷袋(包含考场记录表、考生签到表，选择题若为机器阅卷，须附上选择题成绩单）的规范和完整性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lang w:eastAsia="zh-CN"/>
              </w:rPr>
              <w:t>。</w:t>
            </w:r>
          </w:p>
        </w:tc>
        <w:tc>
          <w:tcPr>
            <w:tcW w:w="5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档案袋所有材料齐全（2分，缺一项减1分）；</w:t>
            </w:r>
          </w:p>
          <w:p>
            <w:pPr>
              <w:adjustRightInd w:val="0"/>
              <w:snapToGrid w:val="0"/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试卷袋材料齐全（2分，缺一项减1分）。</w:t>
            </w:r>
          </w:p>
          <w:p>
            <w:pPr>
              <w:adjustRightInd w:val="0"/>
              <w:snapToGrid w:val="0"/>
              <w:spacing w:line="280" w:lineRule="exact"/>
              <w:jc w:val="left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说明：扣分扣完为止，无负分。机考按传统考试要求归档制作完整的档案袋，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</w:rPr>
              <w:t>机考课程可从系统导出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kern w:val="0"/>
                <w:lang w:eastAsia="zh-CN"/>
              </w:rPr>
              <w:t>考试分析报告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考场记录表及考试签到表可存于档案袋，每题答题情况及学生试卷建议无需打印，直接在系统查看即可。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</w:tc>
        <w:tc>
          <w:tcPr>
            <w:tcW w:w="3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7" w:hRule="atLeast"/>
        </w:trPr>
        <w:tc>
          <w:tcPr>
            <w:tcW w:w="1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3.4 考试总结内容详实、客观（18分）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总结内容包括考试基本情况、考试质量分析、存在问题及整改措施等</w:t>
            </w:r>
          </w:p>
        </w:tc>
        <w:tc>
          <w:tcPr>
            <w:tcW w:w="5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考试基本情况总结完整（2分）；</w:t>
            </w:r>
          </w:p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根据考试分析报告对考试质量进行分析（6分）；</w:t>
            </w:r>
          </w:p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存在问题分析到位（5分）；</w:t>
            </w:r>
          </w:p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整改措施针对性强（5分）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</w:tc>
        <w:tc>
          <w:tcPr>
            <w:tcW w:w="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</w:tc>
        <w:tc>
          <w:tcPr>
            <w:tcW w:w="306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63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4"/>
                <w:szCs w:val="24"/>
              </w:rPr>
              <w:t>综合评价</w:t>
            </w:r>
          </w:p>
        </w:tc>
        <w:tc>
          <w:tcPr>
            <w:tcW w:w="907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74" w:hRule="atLeast"/>
        </w:trPr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意见和建议</w:t>
            </w:r>
          </w:p>
        </w:tc>
        <w:tc>
          <w:tcPr>
            <w:tcW w:w="140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  <w:p>
            <w:pPr>
              <w:jc w:val="left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  <w:p>
            <w:pPr>
              <w:jc w:val="left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  <w:p>
            <w:pPr>
              <w:jc w:val="left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  <w:p>
            <w:pPr>
              <w:jc w:val="left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  <w:p>
            <w:pPr>
              <w:jc w:val="left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  <w:p>
            <w:pPr>
              <w:jc w:val="left"/>
              <w:rPr>
                <w:rFonts w:hint="default" w:ascii="Times New Roman" w:hAnsi="Times New Roman" w:cs="Times New Roman"/>
                <w:color w:val="auto"/>
                <w:kern w:val="0"/>
              </w:rPr>
            </w:pPr>
          </w:p>
          <w:p>
            <w:pPr>
              <w:ind w:firstLine="6720" w:firstLineChars="3200"/>
              <w:jc w:val="left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检查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lang w:eastAsia="zh-CN"/>
              </w:rPr>
              <w:t>人员签字</w:t>
            </w: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>：</w:t>
            </w:r>
          </w:p>
          <w:p>
            <w:pPr>
              <w:ind w:firstLine="9660" w:firstLineChars="4600"/>
              <w:jc w:val="left"/>
              <w:rPr>
                <w:rFonts w:hint="default" w:ascii="Times New Roman" w:hAnsi="Times New Roman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 xml:space="preserve">日期：       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 xml:space="preserve">  年   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 xml:space="preserve"> 月     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auto"/>
                <w:kern w:val="0"/>
              </w:rPr>
              <w:t xml:space="preserve"> 日</w:t>
            </w:r>
          </w:p>
        </w:tc>
      </w:tr>
    </w:tbl>
    <w:p/>
    <w:sectPr>
      <w:pgSz w:w="16838" w:h="11906" w:orient="landscape"/>
      <w:pgMar w:top="567" w:right="720" w:bottom="567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448EEE"/>
    <w:multiLevelType w:val="singleLevel"/>
    <w:tmpl w:val="0F448EEE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0YWRmYzlmYmZiZjY3ZDgwODJkMWQ0MjAzMTE3ZWUifQ=="/>
  </w:docVars>
  <w:rsids>
    <w:rsidRoot w:val="0026715D"/>
    <w:rsid w:val="000036FB"/>
    <w:rsid w:val="00007D51"/>
    <w:rsid w:val="00020D6B"/>
    <w:rsid w:val="00055FD6"/>
    <w:rsid w:val="000773C5"/>
    <w:rsid w:val="00092190"/>
    <w:rsid w:val="000942EB"/>
    <w:rsid w:val="000D7E35"/>
    <w:rsid w:val="000E04FA"/>
    <w:rsid w:val="001165EE"/>
    <w:rsid w:val="00130466"/>
    <w:rsid w:val="001304B9"/>
    <w:rsid w:val="0013622E"/>
    <w:rsid w:val="00162624"/>
    <w:rsid w:val="00174DEC"/>
    <w:rsid w:val="001761D1"/>
    <w:rsid w:val="00192F06"/>
    <w:rsid w:val="001F6466"/>
    <w:rsid w:val="00250743"/>
    <w:rsid w:val="00257A3A"/>
    <w:rsid w:val="00260CF8"/>
    <w:rsid w:val="002667E4"/>
    <w:rsid w:val="0026715D"/>
    <w:rsid w:val="00277825"/>
    <w:rsid w:val="00280253"/>
    <w:rsid w:val="00293409"/>
    <w:rsid w:val="002C2E65"/>
    <w:rsid w:val="002D634E"/>
    <w:rsid w:val="0030078A"/>
    <w:rsid w:val="00306A8F"/>
    <w:rsid w:val="00332A15"/>
    <w:rsid w:val="00335E20"/>
    <w:rsid w:val="00345B51"/>
    <w:rsid w:val="00353BE9"/>
    <w:rsid w:val="0035753C"/>
    <w:rsid w:val="003900D9"/>
    <w:rsid w:val="003A2DEE"/>
    <w:rsid w:val="003B21B7"/>
    <w:rsid w:val="003B411C"/>
    <w:rsid w:val="003D2375"/>
    <w:rsid w:val="003F52FE"/>
    <w:rsid w:val="00431BA1"/>
    <w:rsid w:val="00457A55"/>
    <w:rsid w:val="00460F18"/>
    <w:rsid w:val="00465AB6"/>
    <w:rsid w:val="004720E3"/>
    <w:rsid w:val="00485440"/>
    <w:rsid w:val="00492FA2"/>
    <w:rsid w:val="004B2BEB"/>
    <w:rsid w:val="00500266"/>
    <w:rsid w:val="00537307"/>
    <w:rsid w:val="0054306C"/>
    <w:rsid w:val="00556F25"/>
    <w:rsid w:val="005651EE"/>
    <w:rsid w:val="00565B73"/>
    <w:rsid w:val="005773DD"/>
    <w:rsid w:val="005B73D3"/>
    <w:rsid w:val="005B7CCA"/>
    <w:rsid w:val="005D294C"/>
    <w:rsid w:val="005E63B8"/>
    <w:rsid w:val="00610A50"/>
    <w:rsid w:val="006244BD"/>
    <w:rsid w:val="00640EF4"/>
    <w:rsid w:val="00650CE9"/>
    <w:rsid w:val="00687D4D"/>
    <w:rsid w:val="00715001"/>
    <w:rsid w:val="0071544F"/>
    <w:rsid w:val="00732C1F"/>
    <w:rsid w:val="00732F68"/>
    <w:rsid w:val="00741AB4"/>
    <w:rsid w:val="0075275C"/>
    <w:rsid w:val="00763CAF"/>
    <w:rsid w:val="007647CE"/>
    <w:rsid w:val="007766DB"/>
    <w:rsid w:val="00792AB9"/>
    <w:rsid w:val="00793708"/>
    <w:rsid w:val="00793E05"/>
    <w:rsid w:val="007A7602"/>
    <w:rsid w:val="007F1C77"/>
    <w:rsid w:val="00803539"/>
    <w:rsid w:val="0080775F"/>
    <w:rsid w:val="00822F2F"/>
    <w:rsid w:val="00823BC2"/>
    <w:rsid w:val="00827900"/>
    <w:rsid w:val="00853923"/>
    <w:rsid w:val="0085402B"/>
    <w:rsid w:val="00855CA5"/>
    <w:rsid w:val="008718BA"/>
    <w:rsid w:val="00875E2F"/>
    <w:rsid w:val="00884294"/>
    <w:rsid w:val="008A2DC3"/>
    <w:rsid w:val="008C6C18"/>
    <w:rsid w:val="008E1EBF"/>
    <w:rsid w:val="008F5A4A"/>
    <w:rsid w:val="0092044E"/>
    <w:rsid w:val="009435CC"/>
    <w:rsid w:val="0097519F"/>
    <w:rsid w:val="009E1369"/>
    <w:rsid w:val="009F164B"/>
    <w:rsid w:val="00A376D0"/>
    <w:rsid w:val="00A435F3"/>
    <w:rsid w:val="00A61654"/>
    <w:rsid w:val="00AA50D2"/>
    <w:rsid w:val="00AC26F3"/>
    <w:rsid w:val="00B05654"/>
    <w:rsid w:val="00B068FA"/>
    <w:rsid w:val="00B27481"/>
    <w:rsid w:val="00B658F8"/>
    <w:rsid w:val="00B86BC3"/>
    <w:rsid w:val="00B97A0F"/>
    <w:rsid w:val="00BD1C4D"/>
    <w:rsid w:val="00BF3044"/>
    <w:rsid w:val="00C17DCF"/>
    <w:rsid w:val="00C267C9"/>
    <w:rsid w:val="00C46AEE"/>
    <w:rsid w:val="00C736BC"/>
    <w:rsid w:val="00C81F86"/>
    <w:rsid w:val="00C8716D"/>
    <w:rsid w:val="00CA4A5A"/>
    <w:rsid w:val="00CB12E6"/>
    <w:rsid w:val="00CC157C"/>
    <w:rsid w:val="00D032AD"/>
    <w:rsid w:val="00D33EE2"/>
    <w:rsid w:val="00D41110"/>
    <w:rsid w:val="00DA199C"/>
    <w:rsid w:val="00DA3ED4"/>
    <w:rsid w:val="00DE5882"/>
    <w:rsid w:val="00DF41C8"/>
    <w:rsid w:val="00DF68F8"/>
    <w:rsid w:val="00E259AE"/>
    <w:rsid w:val="00E45A79"/>
    <w:rsid w:val="00E50078"/>
    <w:rsid w:val="00E76B88"/>
    <w:rsid w:val="00E85F42"/>
    <w:rsid w:val="00E87BC2"/>
    <w:rsid w:val="00E957F6"/>
    <w:rsid w:val="00EB1289"/>
    <w:rsid w:val="00EB239E"/>
    <w:rsid w:val="00EF50E6"/>
    <w:rsid w:val="00F13A04"/>
    <w:rsid w:val="00F44A10"/>
    <w:rsid w:val="00F51BBD"/>
    <w:rsid w:val="00F57249"/>
    <w:rsid w:val="00F80CFA"/>
    <w:rsid w:val="00F94897"/>
    <w:rsid w:val="00FB6FA1"/>
    <w:rsid w:val="00FC235E"/>
    <w:rsid w:val="00FD53EA"/>
    <w:rsid w:val="0A56558B"/>
    <w:rsid w:val="115C1474"/>
    <w:rsid w:val="1400334A"/>
    <w:rsid w:val="211E08F6"/>
    <w:rsid w:val="24737819"/>
    <w:rsid w:val="275A7E3C"/>
    <w:rsid w:val="2BE07A80"/>
    <w:rsid w:val="2E813425"/>
    <w:rsid w:val="32061F43"/>
    <w:rsid w:val="366C6D72"/>
    <w:rsid w:val="441822E7"/>
    <w:rsid w:val="453F76D4"/>
    <w:rsid w:val="489272A4"/>
    <w:rsid w:val="4C796CE5"/>
    <w:rsid w:val="59337944"/>
    <w:rsid w:val="5A4B0A38"/>
    <w:rsid w:val="5F293D04"/>
    <w:rsid w:val="64615CF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autoRedefine/>
    <w:semiHidden/>
    <w:unhideWhenUsed/>
    <w:qFormat/>
    <w:uiPriority w:val="0"/>
    <w:pPr>
      <w:jc w:val="left"/>
    </w:pPr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paragraph" w:styleId="6">
    <w:name w:val="annotation subject"/>
    <w:basedOn w:val="2"/>
    <w:next w:val="2"/>
    <w:link w:val="17"/>
    <w:semiHidden/>
    <w:unhideWhenUsed/>
    <w:qFormat/>
    <w:uiPriority w:val="0"/>
    <w:rPr>
      <w:b/>
      <w:bCs/>
    </w:rPr>
  </w:style>
  <w:style w:type="character" w:styleId="9">
    <w:name w:val="annotation reference"/>
    <w:basedOn w:val="8"/>
    <w:semiHidden/>
    <w:unhideWhenUsed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12">
    <w:name w:val="font61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21"/>
    <w:autoRedefine/>
    <w:qFormat/>
    <w:uiPriority w:val="0"/>
    <w:rPr>
      <w:rFonts w:hint="eastAsia" w:ascii="黑体" w:hAnsi="宋体" w:eastAsia="黑体" w:cs="黑体"/>
      <w:color w:val="000000"/>
      <w:sz w:val="32"/>
      <w:szCs w:val="32"/>
      <w:u w:val="none"/>
    </w:rPr>
  </w:style>
  <w:style w:type="character" w:customStyle="1" w:styleId="14">
    <w:name w:val="font11"/>
    <w:autoRedefine/>
    <w:qFormat/>
    <w:uiPriority w:val="0"/>
    <w:rPr>
      <w:rFonts w:hint="eastAsia" w:ascii="黑体" w:hAnsi="宋体" w:eastAsia="黑体" w:cs="黑体"/>
      <w:color w:val="000000"/>
      <w:sz w:val="32"/>
      <w:szCs w:val="32"/>
      <w:u w:val="single"/>
    </w:rPr>
  </w:style>
  <w:style w:type="character" w:customStyle="1" w:styleId="15">
    <w:name w:val="批注框文本 字符"/>
    <w:basedOn w:val="8"/>
    <w:link w:val="3"/>
    <w:autoRedefine/>
    <w:qFormat/>
    <w:uiPriority w:val="0"/>
    <w:rPr>
      <w:rFonts w:ascii="Calibri" w:hAnsi="Calibri" w:cs="Calibri"/>
      <w:kern w:val="2"/>
      <w:sz w:val="18"/>
      <w:szCs w:val="18"/>
    </w:rPr>
  </w:style>
  <w:style w:type="character" w:customStyle="1" w:styleId="16">
    <w:name w:val="批注文字 字符"/>
    <w:basedOn w:val="8"/>
    <w:link w:val="2"/>
    <w:autoRedefine/>
    <w:semiHidden/>
    <w:qFormat/>
    <w:uiPriority w:val="0"/>
    <w:rPr>
      <w:rFonts w:ascii="Calibri" w:hAnsi="Calibri" w:cs="Calibri"/>
      <w:kern w:val="2"/>
      <w:sz w:val="21"/>
      <w:szCs w:val="21"/>
    </w:rPr>
  </w:style>
  <w:style w:type="character" w:customStyle="1" w:styleId="17">
    <w:name w:val="批注主题 字符"/>
    <w:basedOn w:val="16"/>
    <w:link w:val="6"/>
    <w:semiHidden/>
    <w:qFormat/>
    <w:uiPriority w:val="0"/>
    <w:rPr>
      <w:rFonts w:ascii="Calibri" w:hAnsi="Calibri" w:cs="Calibri"/>
      <w:b/>
      <w:bCs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465ED-71DE-43D8-AD53-AE393A37A2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2024</Words>
  <Characters>2234</Characters>
  <Lines>18</Lines>
  <Paragraphs>5</Paragraphs>
  <TotalTime>11</TotalTime>
  <ScaleCrop>false</ScaleCrop>
  <LinksUpToDate>false</LinksUpToDate>
  <CharactersWithSpaces>2336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2016-12-12T07:17:00Z</dcterms:created>
  <dc:creator>hp</dc:creator>
  <cp:lastModifiedBy>妍妍</cp:lastModifiedBy>
  <cp:lastPrinted>2018-11-08T01:26:00Z</cp:lastPrinted>
  <dcterms:modified xsi:type="dcterms:W3CDTF">2024-04-22T09:13:19Z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0A5E3FA3A5CD4CD9A4E0861A0EDFD2E6</vt:lpwstr>
  </property>
</Properties>
</file>